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ind w:left="41"/>
        <w:rPr>
          <w:rFonts w:ascii="Times New Roman" w:hAnsi="Times New Roman"/>
          <w:sz w:val="20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5524500" cy="241300"/>
                <wp:effectExtent l="12700" t="12700" r="12700" b="12700"/>
                <wp:docPr id="1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val="SMDATA_14_vUGIahMAAAAlAAAAZAAAAA0AAAAAAAAAAAAAAAAAAAAAAAAAAAAAAAAAAAAAAAAAAAEAAABQAAAAAAAAAAAA4D8AAAAAAADgPwAAAAAAAOA/AAAAAAAA4D8AAAAAAADgPwAAAAAAAOA/AAAAAAAA4D8AAAAAAADgPwAAAAAAAOA/AAAAAAAA4D8CAAAAjAAAAAEAAAAAAAAA//+Z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HoAAAAAAAAAAAAAAAAAAAAAAAAAAAAAAAAAAAAAAAAAAAAAD8IQAAfAEAAAAAAAAAAAAAAAA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5524500" cy="2413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para1"/>
                              <w:ind w:left="15"/>
                              <w:spacing w:before="1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ANEXO</w:t>
                            </w:r>
                            <w:r>
                              <w:rPr>
                                <w:color w:val="000000"/>
                                <w:spacing w:val="-12" w:percent="9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II</w:t>
                            </w:r>
                            <w:r>
                              <w:rPr>
                                <w:color w:val="000000"/>
                                <w:spacing w:val="-9" w:percent="9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9" w:percent="9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CRITÉRIOS</w:t>
                            </w:r>
                            <w:r>
                              <w:rPr>
                                <w:color w:val="000000"/>
                                <w:spacing w:val="-10" w:percent="9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9" w:percent="9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AVALIAÇÃO</w:t>
                            </w:r>
                            <w:r>
                              <w:rPr>
                                <w:color w:val="000000"/>
                                <w:spacing w:val="-9" w:percent="9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DA</w:t>
                            </w:r>
                            <w:r>
                              <w:rPr>
                                <w:color w:val="000000"/>
                                <w:spacing w:val="-10" w:percent="9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ETAPA</w:t>
                            </w:r>
                            <w:r>
                              <w:rPr>
                                <w:color w:val="000000"/>
                                <w:spacing w:val="-9" w:percent="9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9" w:percent="9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3" w:percent="98"/>
                              </w:rPr>
                              <w:t>SELEÇÃO</w:t>
                            </w: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spcFirstLastPara="1" vertOverflow="clip" horzOverflow="clip" lIns="0" tIns="0" rIns="0" bIns="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object>
              <v:rect id="Textbox 2" o:spid="_x0000_s1026" style="width:435.00pt;height:19.00pt;z-index:251658241;mso-wrap-distance-left:0.00pt;mso-wrap-distance-top:0.00pt;mso-wrap-distance-right:0.00pt;mso-wrap-distance-bottom:0.00pt;mso-wrap-style:square" strokeweight="1.00pt" fillcolor="#ffff99" v:ext="SMDATA_14_vUGIahMAAAAlAAAAZAAAAA0AAAAAAAAAAAAAAAAAAAAAAAAAAAAAAAAAAAAAAAAAAAEAAABQAAAAAAAAAAAA4D8AAAAAAADgPwAAAAAAAOA/AAAAAAAA4D8AAAAAAADgPwAAAAAAAOA/AAAAAAAA4D8AAAAAAADgPwAAAAAAAOA/AAAAAAAA4D8CAAAAjAAAAAEAAAAAAAAA//+Z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HoAAAAAAAAAAAAAAAAAAAAAAAAAAAAAAAAAAAAAAAAAAAAAD8IQAAfAEAAAAAAAAAAAAAAAAAACgAAAAIAAAAAQAAAAEAAAA=" o:insetmode="custom">
                <v:fill color2="#000000" type="solid" angle="90"/>
                <v:textbox inset="0.0pt,0.0pt,0.0pt,0.0pt">
                  <w:txbxContent>
                    <w:p>
                      <w:pPr>
                        <w:pStyle w:val="para1"/>
                        <w:ind w:left="15"/>
                        <w:spacing w:before="1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ANEXO</w:t>
                      </w:r>
                      <w:r>
                        <w:rPr>
                          <w:color w:val="000000"/>
                          <w:spacing w:val="-12" w:percent="9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II</w:t>
                      </w:r>
                      <w:r>
                        <w:rPr>
                          <w:color w:val="000000"/>
                          <w:spacing w:val="-9" w:percent="9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-</w:t>
                      </w:r>
                      <w:r>
                        <w:rPr>
                          <w:color w:val="000000"/>
                          <w:spacing w:val="-9" w:percent="9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CRITÉRIOS</w:t>
                      </w:r>
                      <w:r>
                        <w:rPr>
                          <w:color w:val="000000"/>
                          <w:spacing w:val="-10" w:percent="9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9" w:percent="9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AVALIAÇÃO</w:t>
                      </w:r>
                      <w:r>
                        <w:rPr>
                          <w:color w:val="000000"/>
                          <w:spacing w:val="-9" w:percent="9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DA</w:t>
                      </w:r>
                      <w:r>
                        <w:rPr>
                          <w:color w:val="000000"/>
                          <w:spacing w:val="-10" w:percent="9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ETAPA</w:t>
                      </w:r>
                      <w:r>
                        <w:rPr>
                          <w:color w:val="000000"/>
                          <w:spacing w:val="-9" w:percent="9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9" w:percent="9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3" w:percent="98"/>
                        </w:rPr>
                        <w:t>SELEÇÃO</w:t>
                      </w: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object>
          </mc:Fallback>
        </mc:AlternateConten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pStyle w:val="para1"/>
        <w:spacing w:before="115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</w:r>
    </w:p>
    <w:p>
      <w:pPr>
        <w:pStyle w:val="para1"/>
        <w:ind w:left="142"/>
      </w:pPr>
      <w:r>
        <w:rPr>
          <w:spacing w:val="-3" w:percent="98"/>
          <w:u w:color="auto" w:val="thick"/>
        </w:rPr>
        <w:t>AVALIAÇÃO</w:t>
      </w:r>
      <w:r>
        <w:rPr>
          <w:spacing w:val="-8" w:percent="94"/>
          <w:u w:color="auto" w:val="thick"/>
        </w:rPr>
        <w:t xml:space="preserve"> </w:t>
      </w:r>
      <w:r>
        <w:rPr>
          <w:spacing w:val="-3" w:percent="98"/>
          <w:u w:color="auto" w:val="thick"/>
        </w:rPr>
        <w:t>DA</w:t>
      </w:r>
      <w:r>
        <w:rPr>
          <w:spacing w:val="-6" w:percent="95"/>
          <w:u w:color="auto" w:val="thick"/>
        </w:rPr>
        <w:t xml:space="preserve"> </w:t>
      </w:r>
      <w:r>
        <w:rPr>
          <w:spacing w:val="-3" w:percent="98"/>
          <w:u w:color="auto" w:val="thick"/>
        </w:rPr>
        <w:t>ATUAÇÃO</w:t>
      </w:r>
      <w:r>
        <w:rPr>
          <w:spacing w:val="-5" w:percent="96"/>
          <w:u w:color="auto" w:val="thick"/>
        </w:rPr>
        <w:t xml:space="preserve"> </w:t>
      </w:r>
      <w:r>
        <w:rPr>
          <w:spacing w:val="-3" w:percent="98"/>
          <w:u w:color="auto" w:val="thick"/>
        </w:rPr>
        <w:t>DA</w:t>
      </w:r>
      <w:r>
        <w:rPr>
          <w:spacing w:val="-6" w:percent="95"/>
          <w:u w:color="auto" w:val="thick"/>
        </w:rPr>
        <w:t xml:space="preserve"> </w:t>
      </w:r>
      <w:r>
        <w:rPr>
          <w:spacing w:val="-3" w:percent="98"/>
          <w:u w:color="auto" w:val="thick"/>
        </w:rPr>
        <w:t>ENTIDADE</w:t>
      </w:r>
      <w:r>
        <w:rPr>
          <w:spacing w:val="-5" w:percent="96"/>
          <w:u w:color="auto" w:val="thick"/>
        </w:rPr>
        <w:t xml:space="preserve"> </w:t>
      </w:r>
      <w:r>
        <w:rPr>
          <w:spacing w:val="-3" w:percent="98"/>
          <w:u w:color="auto" w:val="thick"/>
        </w:rPr>
        <w:t>CULTURAL</w:t>
      </w:r>
      <w:r/>
    </w:p>
    <w:p>
      <w:pPr>
        <w:rPr>
          <w:b/>
          <w:sz w:val="20"/>
        </w:rPr>
      </w:pPr>
      <w:r>
        <w:rPr>
          <w:b/>
          <w:sz w:val="20"/>
        </w:rPr>
      </w:r>
    </w:p>
    <w:p>
      <w:pPr>
        <w:spacing w:before="27" w:after="1"/>
        <w:rPr>
          <w:b/>
          <w:sz w:val="20"/>
        </w:rPr>
      </w:pPr>
      <w:r>
        <w:rPr>
          <w:b/>
          <w:sz w:val="20"/>
        </w:rPr>
      </w:r>
    </w:p>
    <w:tbl>
      <w:tblPr>
        <w:tblStyle w:val="TableNormal"/>
        <w:name w:val="Tabela1"/>
        <w:tabOrder w:val="0"/>
        <w:jc w:val="left"/>
        <w:tblInd w:w="41" w:type="dxa"/>
        <w:tblW w:w="9320" w:type="dxa"/>
        <w:pPr>
          <w:ind w:left="41"/>
        </w:pPr>
        <w:tblLook w:val="01E0" w:firstRow="1" w:lastRow="1" w:firstColumn="1" w:lastColumn="1" w:noHBand="0" w:noVBand="0"/>
      </w:tblPr>
      <w:tblGrid>
        <w:gridCol w:w="960"/>
        <w:gridCol w:w="2260"/>
        <w:gridCol w:w="1560"/>
        <w:gridCol w:w="1560"/>
        <w:gridCol w:w="1420"/>
        <w:gridCol w:w="1560"/>
      </w:tblGrid>
      <w:tr>
        <w:trPr>
          <w:cantSplit w:val="0"/>
          <w:trHeight w:val="1199" w:hRule="atLeast"/>
        </w:trPr>
        <w:tc>
          <w:tcPr>
            <w:tcW w:w="3220" w:type="dxa"/>
            <w:gridSpan w:val="2"/>
            <w:shd w:val="solid" w:color="FFFF99" tmshd="1677721856, 0, 10092543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2"/>
              <w:spacing/>
              <w:jc w:val="center"/>
              <w:rPr>
                <w:b/>
                <w:sz w:val="24"/>
              </w:rPr>
            </w:pPr>
            <w:r>
              <w:rPr>
                <w:b/>
                <w:spacing w:val="-3" w:percent="98"/>
                <w:sz w:val="24"/>
              </w:rPr>
              <w:t>CRITÉRIOS</w:t>
            </w:r>
            <w:r>
              <w:rPr>
                <w:b/>
                <w:sz w:val="24"/>
              </w:rPr>
            </w:r>
          </w:p>
        </w:tc>
        <w:tc>
          <w:tcPr>
            <w:tcW w:w="4540" w:type="dxa"/>
            <w:gridSpan w:val="3"/>
            <w:shd w:val="solid" w:color="FFFF99" tmshd="1677721856, 0, 10092543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867"/>
              <w:rPr>
                <w:b/>
                <w:sz w:val="24"/>
              </w:rPr>
            </w:pPr>
            <w:r>
              <w:rPr>
                <w:b/>
                <w:sz w:val="24"/>
              </w:rPr>
              <w:t>DISTRIBUIÇÃO</w:t>
            </w:r>
            <w:r>
              <w:rPr>
                <w:b/>
                <w:spacing w:val="-4" w:percent="97"/>
                <w:sz w:val="24"/>
              </w:rPr>
              <w:t xml:space="preserve"> </w:t>
            </w:r>
            <w:r>
              <w:rPr>
                <w:b/>
                <w:sz w:val="24"/>
              </w:rPr>
              <w:t>DOS</w:t>
            </w:r>
            <w:r>
              <w:rPr>
                <w:b/>
                <w:spacing w:val="-3" w:percent="98"/>
                <w:sz w:val="24"/>
              </w:rPr>
              <w:t xml:space="preserve"> </w:t>
            </w:r>
            <w:r>
              <w:rPr>
                <w:b/>
                <w:spacing w:val="-3" w:percent="98"/>
                <w:sz w:val="24"/>
              </w:rPr>
              <w:t>PONTOS</w:t>
            </w:r>
            <w:r>
              <w:rPr>
                <w:b/>
                <w:sz w:val="24"/>
              </w:rPr>
            </w:r>
          </w:p>
        </w:tc>
        <w:tc>
          <w:tcPr>
            <w:tcW w:w="1560" w:type="dxa"/>
            <w:shd w:val="solid" w:color="FFFF99" tmshd="1677721856, 0, 10092543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24"/>
              <w:spacing w:before="57" w:line="259" w:lineRule="auto"/>
              <w:jc w:val="center"/>
              <w:rPr>
                <w:b/>
                <w:sz w:val="24"/>
              </w:rPr>
            </w:pPr>
            <w:r>
              <w:rPr>
                <w:b/>
                <w:spacing w:val="-4" w:percent="97"/>
                <w:sz w:val="24"/>
              </w:rPr>
              <w:t xml:space="preserve">PONTUAÇÃO </w:t>
            </w:r>
            <w:r>
              <w:rPr>
                <w:b/>
                <w:sz w:val="24"/>
              </w:rPr>
              <w:t>MÁXIMA</w:t>
            </w:r>
            <w:r>
              <w:rPr>
                <w:b/>
                <w:spacing w:val="-14" w:percent="8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NO </w:t>
            </w:r>
            <w:r>
              <w:rPr>
                <w:b/>
                <w:spacing w:val="-4" w:percent="97"/>
                <w:sz w:val="24"/>
              </w:rPr>
              <w:t>ITEM</w:t>
            </w:r>
            <w:r>
              <w:rPr>
                <w:b/>
                <w:sz w:val="24"/>
              </w:rPr>
            </w:r>
          </w:p>
        </w:tc>
      </w:tr>
      <w:tr>
        <w:trPr>
          <w:cantSplit w:val="0"/>
          <w:trHeight w:val="4979" w:hRule="atLeast"/>
        </w:trPr>
        <w:tc>
          <w:tcPr>
            <w:tcW w:w="960" w:type="dxa"/>
            <w:shd w:val="solid" w:color="FFFF99" tmshd="1677721856, 0, 10092543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65" w:right="56"/>
              <w:spacing w:before="50"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 partir do portfólio, do formulário de inscrição e demais materiais</w:t>
            </w:r>
            <w:r>
              <w:rPr>
                <w:b/>
                <w:spacing w:val="-14" w:percent="89"/>
                <w:sz w:val="24"/>
              </w:rPr>
              <w:t xml:space="preserve"> </w:t>
            </w:r>
            <w:r>
              <w:rPr>
                <w:b/>
                <w:sz w:val="24"/>
              </w:rPr>
              <w:t>enviados,</w:t>
            </w:r>
            <w:r>
              <w:rPr>
                <w:b/>
                <w:spacing w:val="-14" w:percent="89"/>
                <w:sz w:val="24"/>
              </w:rPr>
              <w:t xml:space="preserve"> </w:t>
            </w:r>
            <w:r>
              <w:rPr>
                <w:b/>
                <w:sz w:val="24"/>
              </w:rPr>
              <w:t>e considerando os objetivos de Pontos de Cultura definidos na Lei que institui a Política Nacional de Cultura Viva (Lei nº 13.018/2014, art. 6º,</w:t>
            </w:r>
            <w:r>
              <w:rPr>
                <w:b/>
                <w:sz w:val="24"/>
              </w:rPr>
            </w:r>
          </w:p>
          <w:p>
            <w:pPr>
              <w:pStyle w:val="para3"/>
              <w:ind w:left="65" w:right="56"/>
              <w:spacing w:line="259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I), analisar se a entidade</w:t>
            </w:r>
            <w:r>
              <w:rPr>
                <w:b/>
                <w:spacing w:val="-14" w:percent="89"/>
                <w:sz w:val="24"/>
              </w:rPr>
              <w:t xml:space="preserve"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-14" w:percent="89"/>
                <w:sz w:val="24"/>
              </w:rPr>
              <w:t xml:space="preserve"> </w:t>
            </w:r>
            <w:r>
              <w:rPr>
                <w:b/>
                <w:sz w:val="24"/>
              </w:rPr>
              <w:t>coletiv</w:t>
            </w:r>
            <w:r>
              <w:rPr>
                <w:b/>
                <w:sz w:val="24"/>
              </w:rPr>
              <w:t>o cultural atende aos seguintes critérios:</w:t>
            </w:r>
            <w:r>
              <w:rPr>
                <w:b/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158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Não</w:t>
            </w:r>
            <w:r>
              <w:rPr>
                <w:b/>
                <w:spacing w:val="-3" w:percent="98"/>
                <w:sz w:val="24"/>
              </w:rPr>
              <w:t xml:space="preserve"> Atende</w:t>
            </w:r>
            <w:r>
              <w:rPr>
                <w:b/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55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24" w:right="102" w:firstLine="293"/>
              <w:spacing w:line="259" w:lineRule="auto"/>
              <w:rPr>
                <w:b/>
                <w:sz w:val="24"/>
              </w:rPr>
            </w:pPr>
            <w:r>
              <w:rPr>
                <w:b/>
                <w:spacing w:val="-3" w:percent="98"/>
                <w:sz w:val="24"/>
              </w:rPr>
              <w:t>Atende Parcialmente</w:t>
            </w:r>
            <w:r>
              <w:rPr>
                <w:b/>
                <w:sz w:val="24"/>
              </w:rPr>
            </w: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55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09" w:right="87" w:firstLine="240"/>
              <w:spacing w:line="259" w:lineRule="auto"/>
              <w:rPr>
                <w:b/>
                <w:sz w:val="24"/>
              </w:rPr>
            </w:pPr>
            <w:r>
              <w:rPr>
                <w:b/>
                <w:spacing w:val="-3" w:percent="98"/>
                <w:sz w:val="24"/>
              </w:rPr>
              <w:t>Atende Plenamente</w:t>
            </w:r>
            <w:r>
              <w:rPr>
                <w:b/>
                <w:sz w:val="24"/>
              </w:rPr>
            </w:r>
          </w:p>
        </w:tc>
        <w:tc>
          <w:tcPr>
            <w:tcW w:w="156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104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33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3" w:percent="98"/>
                <w:sz w:val="24"/>
              </w:rPr>
              <w:t xml:space="preserve"> pontos</w:t>
            </w:r>
            <w:r>
              <w:rPr>
                <w:sz w:val="24"/>
              </w:rPr>
            </w:r>
          </w:p>
        </w:tc>
      </w:tr>
      <w:tr>
        <w:trPr>
          <w:cantSplit w:val="0"/>
          <w:trHeight w:val="2140" w:hRule="atLeast"/>
        </w:trPr>
        <w:tc>
          <w:tcPr>
            <w:tcW w:w="960" w:type="dxa"/>
            <w:shd w:val="solid" w:color="FFFF99" tmshd="1677721856, 0, 10092543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262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/>
              <w:jc w:val="center"/>
              <w:rPr>
                <w:b/>
                <w:sz w:val="24"/>
              </w:rPr>
            </w:pPr>
            <w:r>
              <w:rPr>
                <w:b/>
                <w:spacing w:val="-5" w:percent="96"/>
                <w:sz w:val="24"/>
              </w:rPr>
              <w:t>a)</w:t>
            </w:r>
            <w:r>
              <w:rPr>
                <w:b/>
                <w:sz w:val="24"/>
              </w:rPr>
            </w:r>
          </w:p>
        </w:tc>
        <w:tc>
          <w:tcPr>
            <w:tcW w:w="2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65" w:right="56"/>
              <w:spacing w:before="58" w:line="259" w:lineRule="auto"/>
              <w:jc w:val="center"/>
              <w:rPr>
                <w:sz w:val="24"/>
              </w:rPr>
            </w:pPr>
            <w:r>
              <w:rPr>
                <w:spacing w:val="-3" w:percent="98"/>
                <w:sz w:val="24"/>
              </w:rPr>
              <w:t>Representa</w:t>
            </w:r>
            <w:r>
              <w:rPr>
                <w:spacing w:val="-13" w:percent="90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 xml:space="preserve">iniciativas </w:t>
            </w:r>
            <w:r>
              <w:rPr>
                <w:sz w:val="24"/>
              </w:rPr>
              <w:t>culturais já desenvolvidas por comunidades,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 xml:space="preserve">grupos e redes de </w:t>
            </w:r>
            <w:r>
              <w:rPr>
                <w:spacing w:val="-3" w:percent="98"/>
                <w:sz w:val="24"/>
              </w:rPr>
              <w:t>colaboração.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262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0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262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5</w:t>
            </w:r>
            <w:r>
              <w:rPr>
                <w:sz w:val="24"/>
              </w:rPr>
            </w: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262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/>
              <w:jc w:val="center"/>
              <w:rPr>
                <w:sz w:val="24"/>
              </w:rPr>
            </w:pPr>
            <w:r>
              <w:rPr>
                <w:spacing w:val="-5" w:percent="96"/>
                <w:sz w:val="24"/>
              </w:rPr>
              <w:t>10</w:t>
            </w:r>
            <w:r>
              <w:rPr>
                <w:sz w:val="24"/>
              </w:rPr>
            </w:r>
          </w:p>
        </w:tc>
        <w:tc>
          <w:tcPr>
            <w:tcW w:w="156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/>
        </w:tc>
      </w:tr>
      <w:tr>
        <w:trPr>
          <w:cantSplit w:val="0"/>
          <w:trHeight w:val="1520" w:hRule="atLeast"/>
        </w:trPr>
        <w:tc>
          <w:tcPr>
            <w:tcW w:w="960" w:type="dxa"/>
            <w:shd w:val="solid" w:color="FFFF99" tmshd="1677721856, 0, 10092543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241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/>
              <w:jc w:val="center"/>
              <w:rPr>
                <w:b/>
                <w:sz w:val="24"/>
              </w:rPr>
            </w:pPr>
            <w:r>
              <w:rPr>
                <w:b/>
                <w:spacing w:val="-5" w:percent="96"/>
                <w:sz w:val="24"/>
              </w:rPr>
              <w:t>b)</w:t>
            </w:r>
            <w:r>
              <w:rPr>
                <w:b/>
                <w:sz w:val="24"/>
              </w:rPr>
            </w:r>
          </w:p>
        </w:tc>
        <w:tc>
          <w:tcPr>
            <w:tcW w:w="2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65" w:right="56"/>
              <w:spacing w:before="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Promove, amplia e garante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criação</w:t>
            </w:r>
            <w:r>
              <w:rPr>
                <w:spacing w:val="-13" w:percent="9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 xml:space="preserve">a produção artística e </w:t>
            </w:r>
            <w:r>
              <w:rPr>
                <w:spacing w:val="-3" w:percent="98"/>
                <w:sz w:val="24"/>
              </w:rPr>
              <w:t>cultural.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241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0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241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2</w:t>
            </w:r>
            <w:r>
              <w:rPr>
                <w:sz w:val="24"/>
              </w:rPr>
            </w: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241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3</w:t>
            </w:r>
            <w:r>
              <w:rPr>
                <w:sz w:val="24"/>
              </w:rPr>
            </w:r>
          </w:p>
        </w:tc>
        <w:tc>
          <w:tcPr>
            <w:tcW w:w="156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/>
        </w:tc>
      </w:tr>
      <w:tr>
        <w:trPr>
          <w:cantSplit w:val="0"/>
          <w:trHeight w:val="1180" w:hRule="atLeast"/>
        </w:trPr>
        <w:tc>
          <w:tcPr>
            <w:tcW w:w="960" w:type="dxa"/>
            <w:shd w:val="solid" w:color="FFFF99" tmshd="1677721856, 0, 10092543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/>
              <w:jc w:val="center"/>
              <w:rPr>
                <w:b/>
                <w:sz w:val="24"/>
              </w:rPr>
            </w:pPr>
            <w:r>
              <w:rPr>
                <w:b/>
                <w:spacing w:val="-5" w:percent="96"/>
                <w:sz w:val="24"/>
              </w:rPr>
              <w:t>c)</w:t>
            </w:r>
            <w:r>
              <w:rPr>
                <w:b/>
                <w:sz w:val="24"/>
              </w:rPr>
            </w:r>
          </w:p>
        </w:tc>
        <w:tc>
          <w:tcPr>
            <w:tcW w:w="2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65" w:right="56"/>
              <w:spacing w:before="5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Incentiva a preservação da cultura</w:t>
            </w:r>
            <w:r>
              <w:rPr>
                <w:spacing w:val="-5" w:percent="96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brasileira.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0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2</w:t>
            </w:r>
            <w:r>
              <w:rPr>
                <w:sz w:val="24"/>
              </w:rPr>
            </w: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3</w:t>
            </w:r>
            <w:r>
              <w:rPr>
                <w:sz w:val="24"/>
              </w:rPr>
            </w:r>
          </w:p>
        </w:tc>
        <w:tc>
          <w:tcPr>
            <w:tcW w:w="156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/>
        </w:tc>
      </w:tr>
      <w:tr>
        <w:trPr>
          <w:cantSplit w:val="0"/>
          <w:trHeight w:val="719" w:hRule="atLeast"/>
        </w:trPr>
        <w:tc>
          <w:tcPr>
            <w:tcW w:w="960" w:type="dxa"/>
            <w:shd w:val="solid" w:color="FFFF99" tmshd="1677721856, 0, 10092543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17"/>
              <w:spacing w:before="141"/>
              <w:jc w:val="center"/>
              <w:rPr>
                <w:b/>
                <w:sz w:val="24"/>
              </w:rPr>
            </w:pPr>
            <w:r>
              <w:rPr>
                <w:b/>
                <w:spacing w:val="-5" w:percent="96"/>
                <w:sz w:val="24"/>
              </w:rPr>
              <w:t>d)</w:t>
            </w:r>
            <w:r>
              <w:rPr>
                <w:b/>
                <w:sz w:val="24"/>
              </w:rPr>
            </w:r>
          </w:p>
        </w:tc>
        <w:tc>
          <w:tcPr>
            <w:tcW w:w="2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68" w:right="51" w:hanging="4"/>
              <w:spacing w:before="63" w:line="259" w:lineRule="auto"/>
              <w:rPr>
                <w:sz w:val="24"/>
              </w:rPr>
            </w:pPr>
            <w:r>
              <w:rPr>
                <w:sz w:val="24"/>
              </w:rPr>
              <w:t>Estimula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exploração de</w:t>
            </w:r>
            <w:r>
              <w:rPr>
                <w:spacing w:val="-3" w:percent="98"/>
                <w:sz w:val="24"/>
              </w:rPr>
              <w:t xml:space="preserve"> </w:t>
            </w:r>
            <w:r>
              <w:rPr>
                <w:sz w:val="24"/>
              </w:rPr>
              <w:t>espaços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z w:val="24"/>
              </w:rPr>
              <w:t>públicos</w:t>
            </w:r>
            <w:r>
              <w:rPr>
                <w:spacing w:val="-1" w:percent="99"/>
                <w:sz w:val="24"/>
              </w:rPr>
              <w:t xml:space="preserve"> </w:t>
            </w:r>
            <w:r>
              <w:rPr>
                <w:spacing w:val="-10" w:percent="92"/>
                <w:sz w:val="24"/>
              </w:rPr>
              <w:t>e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24" w:right="13"/>
              <w:spacing w:before="141"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0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24" w:right="13"/>
              <w:spacing w:before="141"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1</w:t>
            </w:r>
            <w:r>
              <w:rPr>
                <w:sz w:val="24"/>
              </w:rPr>
            </w: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17"/>
              <w:spacing w:before="141"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2</w:t>
            </w:r>
            <w:r>
              <w:rPr>
                <w:sz w:val="24"/>
              </w:rPr>
            </w:r>
          </w:p>
        </w:tc>
        <w:tc>
          <w:tcPr>
            <w:tcW w:w="156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/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headerReference w:type="default" r:id="rId7"/>
          <w:footerReference w:type="default" r:id="rId8"/>
          <w:type w:val="continuous"/>
          <w:pgSz w:h="16840" w:w="11920"/>
          <w:pgMar w:left="1559" w:top="1420" w:right="992" w:bottom="1420" w:header="0" w:footer="1238"/>
          <w:paperSrc w:first="0" w:other="0" a="0" b="0"/>
          <w:pgNumType w:fmt="decimal" w:start="1"/>
          <w:tmGutter w:val="3"/>
          <w:mirrorMargins w:val="0"/>
          <w:tmSection w:h="-1">
            <w:tmFooter w:id="0" w:h="0" edge="1238" text="0">
              <w:shd w:val="none"/>
            </w:tmFooter>
          </w:tmSection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tbl>
      <w:tblPr>
        <w:tblStyle w:val="TableNormal"/>
        <w:name w:val="Tabela2"/>
        <w:tabOrder w:val="0"/>
        <w:jc w:val="left"/>
        <w:tblInd w:w="41" w:type="dxa"/>
        <w:tblW w:w="9320" w:type="dxa"/>
        <w:pPr>
          <w:ind w:left="41"/>
        </w:pPr>
        <w:tblLook w:val="01E0" w:firstRow="1" w:lastRow="1" w:firstColumn="1" w:lastColumn="1" w:noHBand="0" w:noVBand="0"/>
      </w:tblPr>
      <w:tblGrid>
        <w:gridCol w:w="960"/>
        <w:gridCol w:w="2260"/>
        <w:gridCol w:w="1560"/>
        <w:gridCol w:w="1560"/>
        <w:gridCol w:w="1420"/>
        <w:gridCol w:w="1560"/>
      </w:tblGrid>
      <w:tr>
        <w:trPr>
          <w:cantSplit w:val="0"/>
          <w:trHeight w:val="1200" w:hRule="atLeast"/>
        </w:trPr>
        <w:tc>
          <w:tcPr>
            <w:tcW w:w="960" w:type="dxa"/>
            <w:shd w:val="solid" w:color="FFFF99" tmshd="1677721856, 0, 10092543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84" w:right="75"/>
              <w:spacing w:before="61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privados para serem </w:t>
            </w:r>
            <w:r>
              <w:rPr>
                <w:spacing w:val="-3" w:percent="98"/>
                <w:sz w:val="24"/>
              </w:rPr>
              <w:t>disponibilizados</w:t>
            </w:r>
            <w:r>
              <w:rPr>
                <w:spacing w:val="-6" w:percent="95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 xml:space="preserve">para </w:t>
            </w:r>
            <w:r>
              <w:rPr>
                <w:sz w:val="24"/>
              </w:rPr>
              <w:t>a ação cultural.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6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cantSplit w:val="0"/>
          <w:trHeight w:val="1520" w:hRule="atLeast"/>
        </w:trPr>
        <w:tc>
          <w:tcPr>
            <w:tcW w:w="960" w:type="dxa"/>
            <w:shd w:val="solid" w:color="FFFF99" tmshd="1677721856, 0, 10092543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236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/>
              <w:jc w:val="center"/>
              <w:rPr>
                <w:b/>
                <w:sz w:val="24"/>
              </w:rPr>
            </w:pPr>
            <w:r>
              <w:rPr>
                <w:b/>
                <w:spacing w:val="-5" w:percent="96"/>
                <w:sz w:val="24"/>
              </w:rPr>
              <w:t>e)</w:t>
            </w:r>
            <w:r>
              <w:rPr>
                <w:b/>
                <w:sz w:val="24"/>
              </w:rPr>
            </w:r>
          </w:p>
        </w:tc>
        <w:tc>
          <w:tcPr>
            <w:tcW w:w="2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65" w:right="56"/>
              <w:spacing w:before="55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Aumenta a visibilidade das </w:t>
            </w:r>
            <w:r>
              <w:rPr>
                <w:spacing w:val="-3" w:percent="98"/>
                <w:sz w:val="24"/>
              </w:rPr>
              <w:t>diversas</w:t>
            </w:r>
            <w:r>
              <w:rPr>
                <w:spacing w:val="-13" w:percent="90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iniciativas culturais.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236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0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236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2</w:t>
            </w:r>
            <w:r>
              <w:rPr>
                <w:sz w:val="24"/>
              </w:rPr>
            </w: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236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3</w:t>
            </w:r>
            <w:r>
              <w:rPr>
                <w:sz w:val="24"/>
              </w:rPr>
            </w:r>
          </w:p>
        </w:tc>
        <w:tc>
          <w:tcPr>
            <w:tcW w:w="156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/>
        </w:tc>
      </w:tr>
      <w:tr>
        <w:trPr>
          <w:cantSplit w:val="0"/>
          <w:trHeight w:val="1820" w:hRule="atLeast"/>
        </w:trPr>
        <w:tc>
          <w:tcPr>
            <w:tcW w:w="960" w:type="dxa"/>
            <w:shd w:val="solid" w:color="FFFF99" tmshd="1677721856, 0, 10092543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pacing w:val="-5" w:percent="96"/>
                <w:sz w:val="24"/>
              </w:rPr>
              <w:t>f)</w:t>
            </w:r>
            <w:r>
              <w:rPr>
                <w:b/>
                <w:sz w:val="24"/>
              </w:rPr>
            </w:r>
          </w:p>
        </w:tc>
        <w:tc>
          <w:tcPr>
            <w:tcW w:w="2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84" w:right="75"/>
              <w:spacing w:before="44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Promove a diversidade cultural </w:t>
            </w:r>
            <w:r>
              <w:rPr>
                <w:spacing w:val="-3" w:percent="98"/>
                <w:sz w:val="24"/>
              </w:rPr>
              <w:t>brasileira,</w:t>
            </w:r>
            <w:r>
              <w:rPr>
                <w:spacing w:val="-13" w:percent="90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garantindo diálogos interculturais.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 w:before="1"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0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 w:before="1"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2</w:t>
            </w:r>
            <w:r>
              <w:rPr>
                <w:sz w:val="24"/>
              </w:rPr>
            </w: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 w:before="1"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3</w:t>
            </w:r>
            <w:r>
              <w:rPr>
                <w:sz w:val="24"/>
              </w:rPr>
            </w:r>
          </w:p>
        </w:tc>
        <w:tc>
          <w:tcPr>
            <w:tcW w:w="156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/>
        </w:tc>
      </w:tr>
      <w:tr>
        <w:trPr>
          <w:cantSplit w:val="0"/>
          <w:trHeight w:val="1499" w:hRule="atLeast"/>
        </w:trPr>
        <w:tc>
          <w:tcPr>
            <w:tcW w:w="960" w:type="dxa"/>
            <w:shd w:val="solid" w:color="FFFF99" tmshd="1677721856, 0, 10092543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2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/>
              <w:jc w:val="center"/>
              <w:rPr>
                <w:b/>
                <w:sz w:val="24"/>
              </w:rPr>
            </w:pPr>
            <w:r>
              <w:rPr>
                <w:b/>
                <w:spacing w:val="-5" w:percent="96"/>
                <w:sz w:val="24"/>
              </w:rPr>
              <w:t>g)</w:t>
            </w:r>
            <w:r>
              <w:rPr>
                <w:b/>
                <w:sz w:val="24"/>
              </w:rPr>
            </w:r>
          </w:p>
        </w:tc>
        <w:tc>
          <w:tcPr>
            <w:tcW w:w="2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65" w:right="56"/>
              <w:spacing w:before="5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Garante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acesso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aos meios de fruição, produção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 xml:space="preserve">difusão </w:t>
            </w:r>
            <w:r>
              <w:rPr>
                <w:spacing w:val="-3" w:percent="98"/>
                <w:sz w:val="24"/>
              </w:rPr>
              <w:t>cultural.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2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0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2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2</w:t>
            </w:r>
            <w:r>
              <w:rPr>
                <w:sz w:val="24"/>
              </w:rPr>
            </w: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231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3</w:t>
            </w:r>
            <w:r>
              <w:rPr>
                <w:sz w:val="24"/>
              </w:rPr>
            </w:r>
          </w:p>
        </w:tc>
        <w:tc>
          <w:tcPr>
            <w:tcW w:w="156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/>
        </w:tc>
      </w:tr>
      <w:tr>
        <w:trPr>
          <w:cantSplit w:val="0"/>
          <w:trHeight w:val="3419" w:hRule="atLeast"/>
        </w:trPr>
        <w:tc>
          <w:tcPr>
            <w:tcW w:w="960" w:type="dxa"/>
            <w:shd w:val="solid" w:color="FFFF99" tmshd="1677721856, 0, 10092543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17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pacing w:val="-5" w:percent="96"/>
                <w:sz w:val="24"/>
              </w:rPr>
              <w:t>h)</w:t>
            </w:r>
            <w:r>
              <w:rPr>
                <w:b/>
                <w:sz w:val="24"/>
              </w:rPr>
            </w:r>
          </w:p>
        </w:tc>
        <w:tc>
          <w:tcPr>
            <w:tcW w:w="2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50" w:right="41"/>
              <w:spacing w:before="60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Assegura a inclusão cultural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4" w:percent="97"/>
                <w:sz w:val="24"/>
              </w:rPr>
              <w:t xml:space="preserve"> </w:t>
            </w:r>
            <w:r>
              <w:rPr>
                <w:sz w:val="24"/>
              </w:rPr>
              <w:t xml:space="preserve">população idosa, de mulheres, jovens, pessoas negras, com </w:t>
            </w:r>
            <w:r>
              <w:rPr>
                <w:spacing w:val="-3" w:percent="98"/>
                <w:sz w:val="24"/>
              </w:rPr>
              <w:t xml:space="preserve">deficiência, </w:t>
            </w:r>
            <w:r>
              <w:rPr>
                <w:sz w:val="24"/>
              </w:rPr>
              <w:t>LGBTQIAP+ e/ou de baixa renda, combatendo as desigualdades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sociais.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17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 w:before="1"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0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17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 w:before="1"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2</w:t>
            </w:r>
            <w:r>
              <w:rPr>
                <w:sz w:val="24"/>
              </w:rPr>
            </w: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17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 w:before="1"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4</w:t>
            </w:r>
            <w:r>
              <w:rPr>
                <w:sz w:val="24"/>
              </w:rPr>
            </w:r>
          </w:p>
        </w:tc>
        <w:tc>
          <w:tcPr>
            <w:tcW w:w="156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/>
        </w:tc>
      </w:tr>
      <w:tr>
        <w:trPr>
          <w:cantSplit w:val="0"/>
          <w:trHeight w:val="1500" w:hRule="atLeast"/>
        </w:trPr>
        <w:tc>
          <w:tcPr>
            <w:tcW w:w="960" w:type="dxa"/>
            <w:shd w:val="solid" w:color="FFFF99" tmshd="1677721856, 0, 10092543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227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pacing w:val="-5" w:percent="96"/>
                <w:sz w:val="24"/>
              </w:rPr>
              <w:t>i)</w:t>
            </w:r>
            <w:r>
              <w:rPr>
                <w:b/>
                <w:sz w:val="24"/>
              </w:rPr>
            </w:r>
          </w:p>
        </w:tc>
        <w:tc>
          <w:tcPr>
            <w:tcW w:w="2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65" w:right="56"/>
              <w:spacing w:before="46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Contribui para o fortalecimento da autonomia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 xml:space="preserve">das </w:t>
            </w:r>
            <w:r>
              <w:rPr>
                <w:spacing w:val="-3" w:percent="98"/>
                <w:sz w:val="24"/>
              </w:rPr>
              <w:t>comunidades.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227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 w:before="1"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0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227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 w:before="1"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5</w:t>
            </w:r>
            <w:r>
              <w:rPr>
                <w:sz w:val="24"/>
              </w:rPr>
            </w: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227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 w:before="1"/>
              <w:jc w:val="center"/>
              <w:rPr>
                <w:sz w:val="24"/>
              </w:rPr>
            </w:pPr>
            <w:r>
              <w:rPr>
                <w:spacing w:val="-5" w:percent="96"/>
                <w:sz w:val="24"/>
              </w:rPr>
              <w:t>10</w:t>
            </w:r>
            <w:r>
              <w:rPr>
                <w:sz w:val="24"/>
              </w:rPr>
            </w:r>
          </w:p>
        </w:tc>
        <w:tc>
          <w:tcPr>
            <w:tcW w:w="156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/>
        </w:tc>
      </w:tr>
      <w:tr>
        <w:trPr>
          <w:cantSplit w:val="0"/>
          <w:trHeight w:val="1519" w:hRule="atLeast"/>
        </w:trPr>
        <w:tc>
          <w:tcPr>
            <w:tcW w:w="960" w:type="dxa"/>
            <w:shd w:val="solid" w:color="FFFF99" tmshd="1677721856, 0, 10092543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237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/>
              <w:jc w:val="center"/>
              <w:rPr>
                <w:b/>
                <w:sz w:val="24"/>
              </w:rPr>
            </w:pPr>
            <w:r>
              <w:rPr>
                <w:b/>
                <w:spacing w:val="-5" w:percent="96"/>
                <w:sz w:val="24"/>
              </w:rPr>
              <w:t>j)</w:t>
            </w:r>
            <w:r>
              <w:rPr>
                <w:b/>
                <w:sz w:val="24"/>
              </w:rPr>
            </w:r>
          </w:p>
        </w:tc>
        <w:tc>
          <w:tcPr>
            <w:tcW w:w="2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65" w:right="56"/>
              <w:spacing w:before="56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Promove o intercâmbio entre </w:t>
            </w:r>
            <w:r>
              <w:rPr>
                <w:spacing w:val="-3" w:percent="98"/>
                <w:sz w:val="24"/>
              </w:rPr>
              <w:t>diferentes</w:t>
            </w:r>
            <w:r>
              <w:rPr>
                <w:spacing w:val="-13" w:percent="90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 xml:space="preserve">segmentos </w:t>
            </w:r>
            <w:r>
              <w:rPr>
                <w:sz w:val="24"/>
              </w:rPr>
              <w:t>da comunidade.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237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0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237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3</w:t>
            </w:r>
            <w:r>
              <w:rPr>
                <w:sz w:val="24"/>
              </w:rPr>
            </w: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237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5</w:t>
            </w:r>
            <w:r>
              <w:rPr>
                <w:sz w:val="24"/>
              </w:rPr>
            </w:r>
          </w:p>
        </w:tc>
        <w:tc>
          <w:tcPr>
            <w:tcW w:w="156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/>
        </w:tc>
      </w:tr>
      <w:tr>
        <w:trPr>
          <w:cantSplit w:val="0"/>
          <w:trHeight w:val="1020" w:hRule="atLeast"/>
        </w:trPr>
        <w:tc>
          <w:tcPr>
            <w:tcW w:w="960" w:type="dxa"/>
            <w:shd w:val="solid" w:color="FFFF99" tmshd="1677721856, 0, 10092543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17"/>
              <w:spacing w:before="282"/>
              <w:jc w:val="center"/>
              <w:rPr>
                <w:b/>
                <w:sz w:val="24"/>
              </w:rPr>
            </w:pPr>
            <w:r>
              <w:rPr>
                <w:b/>
                <w:spacing w:val="-5" w:percent="96"/>
                <w:sz w:val="24"/>
              </w:rPr>
              <w:t>k)</w:t>
            </w:r>
            <w:r>
              <w:rPr>
                <w:b/>
                <w:sz w:val="24"/>
              </w:rPr>
            </w:r>
          </w:p>
        </w:tc>
        <w:tc>
          <w:tcPr>
            <w:tcW w:w="2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10" w:right="1"/>
              <w:spacing w:before="46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Estimula a articulação das redes sociais e culturais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dessas</w:t>
            </w:r>
            <w:r>
              <w:rPr>
                <w:spacing w:val="-13" w:percent="90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24" w:right="13"/>
              <w:spacing w:before="282"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0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24" w:right="13"/>
              <w:spacing w:before="282"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3</w:t>
            </w:r>
            <w:r>
              <w:rPr>
                <w:sz w:val="24"/>
              </w:rPr>
            </w: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17"/>
              <w:spacing w:before="282"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5</w:t>
            </w:r>
            <w:r>
              <w:rPr>
                <w:sz w:val="24"/>
              </w:rPr>
            </w:r>
          </w:p>
        </w:tc>
        <w:tc>
          <w:tcPr>
            <w:tcW w:w="156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/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continuous"/>
          <w:pgSz w:h="16840" w:w="11920"/>
          <w:pgMar w:left="1559" w:top="1420" w:right="992" w:bottom="1420" w:footer="1238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tbl>
      <w:tblPr>
        <w:tblStyle w:val="TableNormal"/>
        <w:name w:val="Tabela3"/>
        <w:tabOrder w:val="0"/>
        <w:jc w:val="left"/>
        <w:tblInd w:w="41" w:type="dxa"/>
        <w:tblW w:w="9320" w:type="dxa"/>
        <w:pPr>
          <w:ind w:left="41"/>
        </w:pPr>
        <w:tblLook w:val="01E0" w:firstRow="1" w:lastRow="1" w:firstColumn="1" w:lastColumn="1" w:noHBand="0" w:noVBand="0"/>
      </w:tblPr>
      <w:tblGrid>
        <w:gridCol w:w="960"/>
        <w:gridCol w:w="2260"/>
        <w:gridCol w:w="1560"/>
        <w:gridCol w:w="1560"/>
        <w:gridCol w:w="1420"/>
        <w:gridCol w:w="1560"/>
      </w:tblGrid>
      <w:tr>
        <w:trPr>
          <w:cantSplit w:val="0"/>
          <w:trHeight w:val="560" w:hRule="atLeast"/>
        </w:trPr>
        <w:tc>
          <w:tcPr>
            <w:tcW w:w="960" w:type="dxa"/>
            <w:shd w:val="solid" w:color="FFFF99" tmshd="1677721856, 0, 10092543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545"/>
              <w:spacing w:before="61"/>
              <w:rPr>
                <w:sz w:val="24"/>
              </w:rPr>
            </w:pPr>
            <w:r>
              <w:rPr>
                <w:sz w:val="24"/>
              </w:rPr>
              <w:t xml:space="preserve">a </w:t>
            </w:r>
            <w:r>
              <w:rPr>
                <w:spacing w:val="-3" w:percent="98"/>
                <w:sz w:val="24"/>
              </w:rPr>
              <w:t>educação.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6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cantSplit w:val="0"/>
          <w:trHeight w:val="1839" w:hRule="atLeast"/>
        </w:trPr>
        <w:tc>
          <w:tcPr>
            <w:tcW w:w="960" w:type="dxa"/>
            <w:shd w:val="solid" w:color="FFFF99" tmshd="1677721856, 0, 10092543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109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/>
              <w:jc w:val="center"/>
              <w:rPr>
                <w:b/>
                <w:sz w:val="24"/>
              </w:rPr>
            </w:pPr>
            <w:r>
              <w:rPr>
                <w:b/>
                <w:spacing w:val="-5" w:percent="96"/>
                <w:sz w:val="24"/>
              </w:rPr>
              <w:t>l)</w:t>
            </w:r>
            <w:r>
              <w:rPr>
                <w:b/>
                <w:sz w:val="24"/>
              </w:rPr>
            </w:r>
          </w:p>
        </w:tc>
        <w:tc>
          <w:tcPr>
            <w:tcW w:w="2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10" w:right="1"/>
              <w:spacing w:before="62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Adota princípios de gestão compartilhada entre atores culturais não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governamentais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e o Estado.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109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0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109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3</w:t>
            </w:r>
            <w:r>
              <w:rPr>
                <w:sz w:val="24"/>
              </w:rPr>
            </w: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109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5</w:t>
            </w:r>
            <w:r>
              <w:rPr>
                <w:sz w:val="24"/>
              </w:rPr>
            </w:r>
          </w:p>
        </w:tc>
        <w:tc>
          <w:tcPr>
            <w:tcW w:w="156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/>
        </w:tc>
      </w:tr>
      <w:tr>
        <w:trPr>
          <w:cantSplit w:val="0"/>
          <w:trHeight w:val="1180" w:hRule="atLeast"/>
        </w:trPr>
        <w:tc>
          <w:tcPr>
            <w:tcW w:w="960" w:type="dxa"/>
            <w:shd w:val="solid" w:color="FFFF99" tmshd="1677721856, 0, 10092543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/>
              <w:jc w:val="center"/>
              <w:rPr>
                <w:b/>
                <w:sz w:val="24"/>
              </w:rPr>
            </w:pPr>
            <w:r>
              <w:rPr>
                <w:b/>
                <w:spacing w:val="-5" w:percent="96"/>
                <w:sz w:val="24"/>
              </w:rPr>
              <w:t>m)</w:t>
            </w:r>
            <w:r>
              <w:rPr>
                <w:b/>
                <w:sz w:val="24"/>
              </w:rPr>
            </w:r>
          </w:p>
        </w:tc>
        <w:tc>
          <w:tcPr>
            <w:tcW w:w="2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65" w:right="56"/>
              <w:spacing w:before="48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Fomenta as economias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solidária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3" w:percent="98"/>
                <w:sz w:val="24"/>
              </w:rPr>
              <w:t>criativa.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0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2</w:t>
            </w:r>
            <w:r>
              <w:rPr>
                <w:sz w:val="24"/>
              </w:rPr>
            </w: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4</w:t>
            </w:r>
            <w:r>
              <w:rPr>
                <w:sz w:val="24"/>
              </w:rPr>
            </w:r>
          </w:p>
        </w:tc>
        <w:tc>
          <w:tcPr>
            <w:tcW w:w="156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/>
        </w:tc>
      </w:tr>
      <w:tr>
        <w:trPr>
          <w:cantSplit w:val="0"/>
          <w:trHeight w:val="1840" w:hRule="atLeast"/>
        </w:trPr>
        <w:tc>
          <w:tcPr>
            <w:tcW w:w="960" w:type="dxa"/>
            <w:shd w:val="solid" w:color="FFFF99" tmshd="1677721856, 0, 10092543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108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/>
              <w:jc w:val="center"/>
              <w:rPr>
                <w:b/>
                <w:sz w:val="24"/>
              </w:rPr>
            </w:pPr>
            <w:r>
              <w:rPr>
                <w:b/>
                <w:spacing w:val="-5" w:percent="96"/>
                <w:sz w:val="24"/>
              </w:rPr>
              <w:t>n)</w:t>
            </w:r>
            <w:r>
              <w:rPr>
                <w:b/>
                <w:sz w:val="24"/>
              </w:rPr>
            </w:r>
          </w:p>
        </w:tc>
        <w:tc>
          <w:tcPr>
            <w:tcW w:w="2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65" w:right="56"/>
              <w:spacing w:before="62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Protege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 xml:space="preserve">patrimônio cultural material, imaterial e promove as memórias </w:t>
            </w:r>
            <w:r>
              <w:rPr>
                <w:spacing w:val="-3" w:percent="98"/>
                <w:sz w:val="24"/>
              </w:rPr>
              <w:t>comunitárias.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108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0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108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3</w:t>
            </w:r>
            <w:r>
              <w:rPr>
                <w:sz w:val="24"/>
              </w:rPr>
            </w: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108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5</w:t>
            </w:r>
            <w:r>
              <w:rPr>
                <w:sz w:val="24"/>
              </w:rPr>
            </w:r>
          </w:p>
        </w:tc>
        <w:tc>
          <w:tcPr>
            <w:tcW w:w="156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/>
        </w:tc>
      </w:tr>
      <w:tr>
        <w:trPr>
          <w:cantSplit w:val="0"/>
          <w:trHeight w:val="1499" w:hRule="atLeast"/>
        </w:trPr>
        <w:tc>
          <w:tcPr>
            <w:tcW w:w="960" w:type="dxa"/>
            <w:shd w:val="solid" w:color="FFFF99" tmshd="1677721856, 0, 10092543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229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/>
              <w:jc w:val="center"/>
              <w:rPr>
                <w:b/>
                <w:sz w:val="24"/>
              </w:rPr>
            </w:pPr>
            <w:r>
              <w:rPr>
                <w:b/>
                <w:spacing w:val="-5" w:percent="96"/>
                <w:sz w:val="24"/>
              </w:rPr>
              <w:t>o)</w:t>
            </w:r>
            <w:r>
              <w:rPr>
                <w:b/>
                <w:sz w:val="24"/>
              </w:rPr>
            </w:r>
          </w:p>
        </w:tc>
        <w:tc>
          <w:tcPr>
            <w:tcW w:w="2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65" w:right="56"/>
              <w:spacing w:before="47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Apoia e incentiva </w:t>
            </w:r>
            <w:r>
              <w:rPr>
                <w:spacing w:val="-3" w:percent="98"/>
                <w:sz w:val="24"/>
              </w:rPr>
              <w:t xml:space="preserve">manifestações </w:t>
            </w:r>
            <w:r>
              <w:rPr>
                <w:sz w:val="24"/>
              </w:rPr>
              <w:t>culturais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populares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3" w:percent="98"/>
                <w:sz w:val="24"/>
              </w:rPr>
              <w:t>tradicionais.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229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0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229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3</w:t>
            </w:r>
            <w:r>
              <w:rPr>
                <w:sz w:val="24"/>
              </w:rPr>
            </w: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spacing w:before="229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5</w:t>
            </w:r>
            <w:r>
              <w:rPr>
                <w:sz w:val="24"/>
              </w:rPr>
            </w:r>
          </w:p>
        </w:tc>
        <w:tc>
          <w:tcPr>
            <w:tcW w:w="156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/>
        </w:tc>
      </w:tr>
      <w:tr>
        <w:trPr>
          <w:cantSplit w:val="0"/>
          <w:trHeight w:val="1820" w:hRule="atLeast"/>
        </w:trPr>
        <w:tc>
          <w:tcPr>
            <w:tcW w:w="960" w:type="dxa"/>
            <w:shd w:val="solid" w:color="FFFF99" tmshd="1677721856, 0, 10092543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1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/>
              <w:jc w:val="center"/>
              <w:rPr>
                <w:b/>
                <w:sz w:val="24"/>
              </w:rPr>
            </w:pPr>
            <w:r>
              <w:rPr>
                <w:b/>
                <w:spacing w:val="-5" w:percent="96"/>
                <w:sz w:val="24"/>
              </w:rPr>
              <w:t>p)</w:t>
            </w:r>
            <w:r>
              <w:rPr>
                <w:b/>
                <w:sz w:val="24"/>
              </w:rPr>
            </w:r>
          </w:p>
        </w:tc>
        <w:tc>
          <w:tcPr>
            <w:tcW w:w="2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65" w:right="56"/>
              <w:spacing w:before="57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Realiza atividades culturais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gratuitas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 xml:space="preserve">e abertas com regularidade na </w:t>
            </w:r>
            <w:r>
              <w:rPr>
                <w:spacing w:val="-3" w:percent="98"/>
                <w:sz w:val="24"/>
              </w:rPr>
              <w:t>comunidade.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1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0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1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5</w:t>
            </w:r>
            <w:r>
              <w:rPr>
                <w:sz w:val="24"/>
              </w:rPr>
            </w: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10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/>
              <w:jc w:val="center"/>
              <w:rPr>
                <w:sz w:val="24"/>
              </w:rPr>
            </w:pPr>
            <w:r>
              <w:rPr>
                <w:spacing w:val="-5" w:percent="96"/>
                <w:sz w:val="24"/>
              </w:rPr>
              <w:t>10</w:t>
            </w:r>
            <w:r>
              <w:rPr>
                <w:sz w:val="24"/>
              </w:rPr>
            </w:r>
          </w:p>
        </w:tc>
        <w:tc>
          <w:tcPr>
            <w:tcW w:w="156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/>
        </w:tc>
      </w:tr>
      <w:tr>
        <w:trPr>
          <w:cantSplit w:val="0"/>
          <w:trHeight w:val="3739" w:hRule="atLeast"/>
        </w:trPr>
        <w:tc>
          <w:tcPr>
            <w:tcW w:w="960" w:type="dxa"/>
            <w:shd w:val="solid" w:color="FFFF99" tmshd="1677721856, 0, 10092543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179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/>
              <w:jc w:val="center"/>
              <w:rPr>
                <w:b/>
                <w:sz w:val="24"/>
              </w:rPr>
            </w:pPr>
            <w:r>
              <w:rPr>
                <w:b/>
                <w:spacing w:val="-5" w:percent="96"/>
                <w:sz w:val="24"/>
              </w:rPr>
              <w:t>q)</w:t>
            </w:r>
            <w:r>
              <w:rPr>
                <w:b/>
                <w:sz w:val="24"/>
              </w:rPr>
            </w:r>
          </w:p>
        </w:tc>
        <w:tc>
          <w:tcPr>
            <w:tcW w:w="2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65" w:right="56"/>
              <w:spacing w:before="63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As ações da </w:t>
            </w:r>
            <w:r>
              <w:rPr>
                <w:spacing w:val="-3" w:percent="98"/>
                <w:sz w:val="24"/>
              </w:rPr>
              <w:t xml:space="preserve">entidade/coletivo </w:t>
            </w:r>
            <w:r>
              <w:rPr>
                <w:sz w:val="24"/>
              </w:rPr>
              <w:t>estão relacionadas aos eixos estruturantes da PNCV, por meio de ações nas áreas de formação,</w:t>
            </w:r>
            <w:r>
              <w:rPr>
                <w:spacing w:val="-8" w:percent="94"/>
                <w:sz w:val="24"/>
              </w:rPr>
              <w:t xml:space="preserve"> </w:t>
            </w:r>
            <w:r>
              <w:rPr>
                <w:sz w:val="24"/>
              </w:rPr>
              <w:t xml:space="preserve">produção e/ou difusão sociocultural de </w:t>
            </w:r>
            <w:r>
              <w:rPr>
                <w:spacing w:val="-3" w:percent="98"/>
                <w:sz w:val="24"/>
              </w:rPr>
              <w:t>maneira</w:t>
            </w:r>
            <w:r>
              <w:rPr>
                <w:spacing w:val="-10" w:percent="92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continuada.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179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0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179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24" w:right="13"/>
              <w:spacing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5</w:t>
            </w:r>
            <w:r>
              <w:rPr>
                <w:sz w:val="24"/>
              </w:rPr>
            </w: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spacing w:before="179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para3"/>
              <w:ind w:left="17"/>
              <w:spacing/>
              <w:jc w:val="center"/>
              <w:rPr>
                <w:sz w:val="24"/>
              </w:rPr>
            </w:pPr>
            <w:r>
              <w:rPr>
                <w:spacing w:val="-5" w:percent="96"/>
                <w:sz w:val="24"/>
              </w:rPr>
              <w:t>10</w:t>
            </w:r>
            <w:r>
              <w:rPr>
                <w:sz w:val="24"/>
              </w:rPr>
            </w:r>
          </w:p>
        </w:tc>
        <w:tc>
          <w:tcPr>
            <w:tcW w:w="156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/>
        </w:tc>
      </w:tr>
      <w:tr>
        <w:trPr>
          <w:cantSplit w:val="0"/>
          <w:trHeight w:val="1020" w:hRule="atLeast"/>
        </w:trPr>
        <w:tc>
          <w:tcPr>
            <w:tcW w:w="960" w:type="dxa"/>
            <w:shd w:val="solid" w:color="FFFF99" tmshd="1677721856, 0, 10092543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17"/>
              <w:spacing w:before="282"/>
              <w:jc w:val="center"/>
              <w:rPr>
                <w:b/>
                <w:sz w:val="24"/>
              </w:rPr>
            </w:pPr>
            <w:r>
              <w:rPr>
                <w:b/>
                <w:spacing w:val="-5" w:percent="96"/>
                <w:sz w:val="24"/>
              </w:rPr>
              <w:t>r)</w:t>
            </w:r>
            <w:r>
              <w:rPr>
                <w:b/>
                <w:sz w:val="24"/>
              </w:rPr>
            </w:r>
          </w:p>
        </w:tc>
        <w:tc>
          <w:tcPr>
            <w:tcW w:w="2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65" w:right="56"/>
              <w:spacing w:before="46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A entidade possui articulação com </w:t>
            </w:r>
            <w:r>
              <w:rPr>
                <w:spacing w:val="-3" w:percent="98"/>
                <w:sz w:val="24"/>
              </w:rPr>
              <w:t>outras</w:t>
            </w:r>
            <w:r>
              <w:rPr>
                <w:spacing w:val="-13" w:percent="90"/>
                <w:sz w:val="24"/>
              </w:rPr>
              <w:t xml:space="preserve"> </w:t>
            </w:r>
            <w:r>
              <w:rPr>
                <w:spacing w:val="-3" w:percent="98"/>
                <w:sz w:val="24"/>
              </w:rPr>
              <w:t>organizações,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24" w:right="13"/>
              <w:spacing w:before="282"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0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24" w:right="13"/>
              <w:spacing w:before="282"/>
              <w:jc w:val="center"/>
              <w:rPr>
                <w:sz w:val="24"/>
              </w:rPr>
            </w:pPr>
            <w:r>
              <w:rPr>
                <w:spacing w:val="-10" w:percent="92"/>
                <w:sz w:val="24"/>
              </w:rPr>
              <w:t>5</w:t>
            </w:r>
            <w:r>
              <w:rPr>
                <w:sz w:val="24"/>
              </w:rPr>
            </w: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17"/>
              <w:spacing w:before="282"/>
              <w:jc w:val="center"/>
              <w:rPr>
                <w:sz w:val="24"/>
              </w:rPr>
            </w:pPr>
            <w:r>
              <w:rPr>
                <w:spacing w:val="-5" w:percent="96"/>
                <w:sz w:val="24"/>
              </w:rPr>
              <w:t>10</w:t>
            </w:r>
            <w:r>
              <w:rPr>
                <w:sz w:val="24"/>
              </w:rPr>
            </w:r>
          </w:p>
        </w:tc>
        <w:tc>
          <w:tcPr>
            <w:tcW w:w="156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nil" w:sz="0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/>
        </w:tc>
      </w:tr>
    </w:tbl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type w:val="continuous"/>
          <w:pgSz w:h="16840" w:w="11920"/>
          <w:pgMar w:left="1559" w:top="1420" w:right="992" w:bottom="1420" w:footer="1238"/>
          <w:paperSrc w:first="0" w:other="0" a="0" b="0"/>
          <w:pgNumType w:fmt="decimal"/>
          <w:tmGutter w:val="3"/>
          <w:mirrorMargins w:val="0"/>
          <w:tmSection w:h="-1"/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tbl>
      <w:tblPr>
        <w:tblStyle w:val="TableNormal"/>
        <w:name w:val="Tabela4"/>
        <w:tabOrder w:val="0"/>
        <w:jc w:val="left"/>
        <w:tblInd w:w="41" w:type="dxa"/>
        <w:tblW w:w="9320" w:type="dxa"/>
        <w:pPr>
          <w:ind w:left="41"/>
        </w:pPr>
        <w:tblLook w:val="01E0" w:firstRow="1" w:lastRow="1" w:firstColumn="1" w:lastColumn="1" w:noHBand="0" w:noVBand="0"/>
      </w:tblPr>
      <w:tblGrid>
        <w:gridCol w:w="960"/>
        <w:gridCol w:w="2260"/>
        <w:gridCol w:w="1560"/>
        <w:gridCol w:w="1560"/>
        <w:gridCol w:w="1420"/>
        <w:gridCol w:w="1560"/>
      </w:tblGrid>
      <w:tr>
        <w:trPr>
          <w:cantSplit w:val="0"/>
          <w:trHeight w:val="2780" w:hRule="atLeast"/>
        </w:trPr>
        <w:tc>
          <w:tcPr>
            <w:tcW w:w="960" w:type="dxa"/>
            <w:shd w:val="solid" w:color="FFFF99" tmshd="1677721856, 0, 10092543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2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ind w:left="65" w:right="56"/>
              <w:spacing w:before="61" w:line="259" w:lineRule="auto"/>
              <w:jc w:val="center"/>
              <w:rPr>
                <w:sz w:val="24"/>
              </w:rPr>
            </w:pPr>
            <w:r>
              <w:rPr>
                <w:sz w:val="24"/>
              </w:rPr>
              <w:t>compondo Frentes, Redes, Conselhos, Comissões, dentre outros espaços de participação e incidência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>política</w:t>
            </w:r>
            <w:r>
              <w:rPr>
                <w:spacing w:val="-14" w:percent="89"/>
                <w:sz w:val="24"/>
              </w:rPr>
              <w:t xml:space="preserve"> </w:t>
            </w:r>
            <w:r>
              <w:rPr>
                <w:sz w:val="24"/>
              </w:rPr>
              <w:t xml:space="preserve">em áreas sinérgicas a </w:t>
            </w:r>
            <w:r>
              <w:rPr>
                <w:spacing w:val="-3" w:percent="98"/>
                <w:sz w:val="24"/>
              </w:rPr>
              <w:t>PNCV.</w:t>
            </w:r>
            <w:r>
              <w:rPr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787314621" protected="0"/>
          </w:tcPr>
          <w:p>
            <w:pPr>
              <w:pStyle w:val="par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spacing w:before="213"/>
        <w:rPr>
          <w:b/>
          <w:sz w:val="24"/>
        </w:rPr>
      </w:pPr>
      <w:r>
        <w:rPr>
          <w:b/>
          <w:sz w:val="24"/>
        </w:rPr>
      </w:r>
    </w:p>
    <w:p>
      <w:pPr>
        <w:pStyle w:val="para1"/>
        <w:ind w:left="142" w:right="43"/>
        <w:spacing w:before="1" w:line="259" w:lineRule="auto"/>
      </w:pPr>
      <w:r>
        <w:t>PARA</w:t>
      </w:r>
      <w:r>
        <w:rPr>
          <w:spacing w:val="32" w:percent="125"/>
        </w:rPr>
        <w:t xml:space="preserve"> </w:t>
      </w:r>
      <w:r>
        <w:t>SER</w:t>
      </w:r>
      <w:r>
        <w:rPr>
          <w:spacing w:val="32" w:percent="125"/>
        </w:rPr>
        <w:t xml:space="preserve"> </w:t>
      </w:r>
      <w:r>
        <w:t>CERTIFICADA,</w:t>
      </w:r>
      <w:r>
        <w:rPr>
          <w:spacing w:val="32" w:percent="125"/>
        </w:rPr>
        <w:t xml:space="preserve"> </w:t>
      </w:r>
      <w:r>
        <w:t>A ENTIDADE PRECISARÁ ALCANÇAR A PONTUAÇÃO MÍNIMA DE 50 (CINQUENTA) PONTOS.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continuous"/>
      <w:pgSz w:h="16840" w:w="11920"/>
      <w:pgMar w:left="1559" w:top="1420" w:right="992" w:bottom="1420" w:footer="1238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1659265" behindDoc="1" locked="0" layoutInCell="0" hidden="0" allowOverlap="1">
          <wp:simplePos x="0" y="0"/>
          <wp:positionH relativeFrom="page">
            <wp:posOffset>3154680</wp:posOffset>
          </wp:positionH>
          <wp:positionV relativeFrom="page">
            <wp:posOffset>9780270</wp:posOffset>
          </wp:positionV>
          <wp:extent cx="3211830" cy="298450"/>
          <wp:effectExtent l="0" t="0" r="0" b="0"/>
          <wp:wrapNone/>
          <wp:docPr id="1025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Image 1"/>
                  <pic:cNvPicPr>
                    <a:extLst>
                      <a:ext uri="sm">
                        <sm:smNativeData xmlns:sm="sm" val="SMDATA_16_vUGIahMAAAAlAAAAEQ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kCAAAAAAAAAAAAAAAAAAAAAAAABoEwAAAAAAAAAAAAAqPAAAwhMAANYBAAAAAAAAaBMAACo8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11830" cy="29845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b w:val="0"/>
        <w:sz w:val="20"/>
      </w:rPr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view w:val="print"/>
  <w:defaultTabStop w:val="720"/>
  <w:autoHyphenation w:val="0"/>
  <w:doNotShadeFormData w:val="0"/>
  <w:captions>
    <w:caption w:name="Tabela" w:pos="below" w:numFmt="decimal"/>
    <w:caption w:name="Figura" w:pos="below" w:numFmt="decimal"/>
    <w:caption w:name="Imagem" w:pos="below" w:numFmt="decimal"/>
  </w:captions>
  <w:drawingGridHorizontalSpacing w:val="110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shapeLayoutLikeWW8 w:val="1"/>
  </w:compat>
  <w:shapeDefaults>
    <o:shapedefaults v:ext="edit" spidmax="3073"/>
    <o:shapelayout v:ext="edit">
      <o:rules v:ext="edit"/>
    </o:shapelayout>
  </w:shapeDefaults>
  <w:tmPrefOne w:val="17"/>
  <w:tmPrefTwo w:val="1"/>
  <w:tmFmtPref w:val="189275259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0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87314621" w:val="1234" w:fileVer="342" w:fileVerOS="4"/>
  <w:guidesAndGrid showGuides="1" lockGuides="0" snapToGuides="1" snapToPageMargins="0" tolerance="8" gridDistanceHorizontal="110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lang w:val="pt-pt"/>
    </w:rPr>
  </w:style>
  <w:style w:type="paragraph" w:styleId="para1">
    <w:name w:val="Body Text"/>
    <w:qFormat/>
    <w:basedOn w:val="para0"/>
    <w:rPr>
      <w:b/>
      <w:bCs/>
      <w:sz w:val="24"/>
      <w:szCs w:val="24"/>
    </w:rPr>
  </w:style>
  <w:style w:type="paragraph" w:styleId="para2">
    <w:name w:val="List Paragraph"/>
    <w:qFormat/>
    <w:basedOn w:val="para0"/>
  </w:style>
  <w:style w:type="paragraph" w:styleId="para3" w:customStyle="1">
    <w:name w:val="Table Paragraph"/>
    <w:qFormat/>
    <w:basedOn w:val="para0"/>
  </w:style>
  <w:style w:type="character" w:styleId="char0" w:default="1">
    <w:name w:val="Default Paragraph Font"/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lang w:val="pt-pt"/>
    </w:rPr>
  </w:style>
  <w:style w:type="paragraph" w:styleId="para1">
    <w:name w:val="Body Text"/>
    <w:qFormat/>
    <w:basedOn w:val="para0"/>
    <w:rPr>
      <w:b/>
      <w:bCs/>
      <w:sz w:val="24"/>
      <w:szCs w:val="24"/>
    </w:rPr>
  </w:style>
  <w:style w:type="paragraph" w:styleId="para2">
    <w:name w:val="List Paragraph"/>
    <w:qFormat/>
    <w:basedOn w:val="para0"/>
  </w:style>
  <w:style w:type="paragraph" w:styleId="para3" w:customStyle="1">
    <w:name w:val="Table Paragraph"/>
    <w:qFormat/>
    <w:basedOn w:val="para0"/>
  </w:style>
  <w:style w:type="character" w:styleId="char0" w:default="1">
    <w:name w:val="Default Paragraph Font"/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 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2026-08-21T12:12:31Z</dcterms:created>
  <dcterms:modified xsi:type="dcterms:W3CDTF">2026-08-21T12:17:01Z</dcterms:modified>
</cp:coreProperties>
</file>